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34A22"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034A22">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034A22">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034A22">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034A22">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034A22">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034A22">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034A22">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034A22">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034A22">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034A22">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034A22">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034A22">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034A22">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034A22">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034A22">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034A22">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64DCA687" w:rsidR="00491D53" w:rsidRDefault="00491D53" w:rsidP="00491D53">
      <w:pPr>
        <w:spacing w:after="0" w:line="240" w:lineRule="auto"/>
        <w:jc w:val="both"/>
        <w:rPr>
          <w:rFonts w:cs="Calibri"/>
        </w:rPr>
      </w:pPr>
      <w:r w:rsidRPr="00E74967">
        <w:rPr>
          <w:rFonts w:cs="Calibri"/>
          <w:b/>
        </w:rPr>
        <w:t>c)</w:t>
      </w:r>
      <w:r w:rsidRPr="00E74967">
        <w:rPr>
          <w:rFonts w:cs="Calibri"/>
        </w:rPr>
        <w:t xml:space="preserve"> Ejercicio fiscal (</w:t>
      </w:r>
      <w:r w:rsidR="00BD661D" w:rsidRPr="00E74967">
        <w:rPr>
          <w:rFonts w:cs="Calibri"/>
        </w:rPr>
        <w:t>mencionar,</w:t>
      </w:r>
      <w:r w:rsidR="007F3890">
        <w:rPr>
          <w:rFonts w:cs="Calibri"/>
        </w:rPr>
        <w:t xml:space="preserve"> por ejemplo: abril</w:t>
      </w:r>
      <w:r w:rsidRPr="00E74967">
        <w:rPr>
          <w:rFonts w:cs="Calibri"/>
        </w:rPr>
        <w:t xml:space="preserve"> a </w:t>
      </w:r>
      <w:r w:rsidR="007F3890">
        <w:rPr>
          <w:rFonts w:cs="Calibri"/>
        </w:rPr>
        <w:t>mayo</w:t>
      </w:r>
      <w:r w:rsidRPr="00E74967">
        <w:rPr>
          <w:rFonts w:cs="Calibri"/>
        </w:rPr>
        <w:t xml:space="preserve"> de 20</w:t>
      </w:r>
      <w:r w:rsidR="006E1E1B">
        <w:rPr>
          <w:rFonts w:cs="Calibri"/>
        </w:rPr>
        <w:t>20</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1BDA1966" w:rsidR="00491D53" w:rsidRPr="00822F5F" w:rsidRDefault="00491D53" w:rsidP="00491D53">
      <w:pPr>
        <w:spacing w:after="0" w:line="240" w:lineRule="auto"/>
        <w:jc w:val="both"/>
        <w:rPr>
          <w:rFonts w:cs="Calibri"/>
          <w:i/>
        </w:rPr>
      </w:pPr>
      <w:r>
        <w:rPr>
          <w:rFonts w:cs="Calibri"/>
          <w:i/>
        </w:rPr>
        <w:t xml:space="preserve">Del </w:t>
      </w:r>
      <w:r w:rsidR="00780060">
        <w:rPr>
          <w:rFonts w:cs="Calibri"/>
          <w:i/>
        </w:rPr>
        <w:t>01</w:t>
      </w:r>
      <w:r>
        <w:rPr>
          <w:rFonts w:cs="Calibri"/>
          <w:i/>
        </w:rPr>
        <w:t xml:space="preserve"> </w:t>
      </w:r>
      <w:r w:rsidR="006E1E1B">
        <w:rPr>
          <w:rFonts w:cs="Calibri"/>
          <w:i/>
        </w:rPr>
        <w:t xml:space="preserve">enero </w:t>
      </w:r>
      <w:r w:rsidR="007F3890">
        <w:rPr>
          <w:rFonts w:cs="Calibri"/>
          <w:i/>
        </w:rPr>
        <w:t xml:space="preserve">al </w:t>
      </w:r>
      <w:r w:rsidR="00992F2F">
        <w:rPr>
          <w:rFonts w:cs="Calibri"/>
          <w:i/>
        </w:rPr>
        <w:t>30</w:t>
      </w:r>
      <w:r>
        <w:rPr>
          <w:rFonts w:cs="Calibri"/>
          <w:i/>
        </w:rPr>
        <w:t xml:space="preserve"> </w:t>
      </w:r>
      <w:r w:rsidR="00BD661D">
        <w:rPr>
          <w:rFonts w:cs="Calibri"/>
          <w:i/>
        </w:rPr>
        <w:t>de</w:t>
      </w:r>
      <w:r w:rsidR="00BE62D0">
        <w:rPr>
          <w:rFonts w:cs="Calibri"/>
          <w:i/>
        </w:rPr>
        <w:t xml:space="preserve"> </w:t>
      </w:r>
      <w:r w:rsidR="00F873B1">
        <w:rPr>
          <w:rFonts w:cs="Calibri"/>
          <w:i/>
        </w:rPr>
        <w:t>SEPTIEMBRE</w:t>
      </w:r>
      <w:bookmarkStart w:id="1" w:name="_GoBack"/>
      <w:bookmarkEnd w:id="1"/>
      <w:r w:rsidR="00992F2F">
        <w:rPr>
          <w:rFonts w:cs="Calibri"/>
          <w:i/>
        </w:rPr>
        <w:t xml:space="preserve"> </w:t>
      </w:r>
      <w:r>
        <w:rPr>
          <w:rFonts w:cs="Calibri"/>
          <w:i/>
        </w:rPr>
        <w:t>del 20</w:t>
      </w:r>
      <w:r w:rsidR="006E1E1B">
        <w:rPr>
          <w:rFonts w:cs="Calibri"/>
          <w:i/>
        </w:rPr>
        <w:t>20</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17069D83"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E1E1B" w:rsidRPr="00E74967">
        <w:rPr>
          <w:rFonts w:cs="Calibri"/>
        </w:rPr>
        <w:t>el base devengado</w:t>
      </w:r>
      <w:r w:rsidRPr="00E74967">
        <w:rPr>
          <w:rFonts w:cs="Calibri"/>
        </w:rPr>
        <w:t xml:space="preserve">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3127D055"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w:t>
      </w:r>
      <w:r w:rsidR="00BE62D0">
        <w:rPr>
          <w:i/>
        </w:rPr>
        <w:t>Gubernamental</w:t>
      </w:r>
      <w:r w:rsidR="00BE62D0" w:rsidRPr="00822F5F">
        <w:rPr>
          <w:i/>
        </w:rPr>
        <w:t>. -</w:t>
      </w:r>
      <w:r w:rsidRPr="00822F5F">
        <w:rPr>
          <w:i/>
        </w:rPr>
        <w:t xml:space="preserve">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2E47BB6B" w:rsidR="00491D53" w:rsidRPr="008E7A46" w:rsidRDefault="00491D53" w:rsidP="00491D53">
      <w:pPr>
        <w:spacing w:after="0" w:line="240" w:lineRule="auto"/>
        <w:jc w:val="both"/>
        <w:rPr>
          <w:rFonts w:cs="Calibri"/>
          <w:i/>
        </w:rPr>
      </w:pPr>
      <w:r w:rsidRPr="008E7A46">
        <w:rPr>
          <w:rFonts w:cs="Calibri"/>
          <w:i/>
        </w:rPr>
        <w:t xml:space="preserve">Se </w:t>
      </w:r>
      <w:r w:rsidR="006E1E1B" w:rsidRPr="008E7A46">
        <w:rPr>
          <w:rFonts w:cs="Calibri"/>
          <w:i/>
        </w:rPr>
        <w:t>implementó</w:t>
      </w:r>
      <w:r w:rsidRPr="008E7A46">
        <w:rPr>
          <w:rFonts w:cs="Calibri"/>
          <w:i/>
        </w:rPr>
        <w:t xml:space="preserve"> dentro del sistema Contable</w:t>
      </w:r>
      <w:r>
        <w:rPr>
          <w:rFonts w:cs="Calibri"/>
          <w:i/>
        </w:rPr>
        <w:t xml:space="preserve"> </w:t>
      </w:r>
      <w:r w:rsidR="00BE62D0">
        <w:rPr>
          <w:rFonts w:cs="Calibri"/>
          <w:i/>
        </w:rPr>
        <w:t xml:space="preserve">la </w:t>
      </w:r>
      <w:r w:rsidR="00BE62D0" w:rsidRPr="008E7A46">
        <w:rPr>
          <w:i/>
        </w:rPr>
        <w:t>Integración en</w:t>
      </w:r>
      <w:r w:rsidRPr="008E7A46">
        <w:rPr>
          <w:i/>
        </w:rPr>
        <w:t xml:space="preserve">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6676CE63"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w:t>
      </w:r>
      <w:r w:rsidR="006E1E1B">
        <w:rPr>
          <w:i/>
        </w:rPr>
        <w:t xml:space="preserve">genere </w:t>
      </w:r>
      <w:r w:rsidR="006E1E1B" w:rsidRPr="008E7A46">
        <w:rPr>
          <w:i/>
        </w:rPr>
        <w:t>en</w:t>
      </w:r>
      <w:r w:rsidRPr="008E7A46">
        <w:rPr>
          <w:i/>
        </w:rPr>
        <w:t xml:space="preserve">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792C2DBA" w14:textId="77777777" w:rsidR="00491D53" w:rsidRDefault="00491D53" w:rsidP="00491D53">
      <w:pPr>
        <w:spacing w:after="0" w:line="240" w:lineRule="auto"/>
        <w:jc w:val="both"/>
        <w:rPr>
          <w:rFonts w:cs="Calibri"/>
        </w:rPr>
      </w:pPr>
    </w:p>
    <w:p w14:paraId="7F5AE30A" w14:textId="77777777" w:rsidR="00491D53" w:rsidRPr="00D32D92" w:rsidRDefault="00491D53" w:rsidP="00491D53">
      <w:pPr>
        <w:spacing w:after="0" w:line="240" w:lineRule="auto"/>
        <w:jc w:val="both"/>
        <w:rPr>
          <w:rFonts w:cs="Calibri"/>
          <w:b/>
          <w:i/>
        </w:rPr>
      </w:pPr>
    </w:p>
    <w:p w14:paraId="40E84E23" w14:textId="63A8B0E6" w:rsidR="00491D53" w:rsidRPr="00E74967" w:rsidRDefault="00E11700" w:rsidP="00491D53">
      <w:pPr>
        <w:spacing w:after="0" w:line="240" w:lineRule="auto"/>
        <w:jc w:val="both"/>
        <w:rPr>
          <w:rFonts w:cs="Calibri"/>
          <w:b/>
        </w:rPr>
      </w:pPr>
      <w:r>
        <w:rPr>
          <w:rFonts w:cs="Calibri"/>
          <w:b/>
        </w:rPr>
        <w:t>10</w:t>
      </w:r>
      <w:r w:rsidR="00491D53" w:rsidRPr="00E74967">
        <w:rPr>
          <w:rFonts w:cs="Calibri"/>
          <w:b/>
        </w:rPr>
        <w:t>.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0994E0F1" w:rsidR="00491D53" w:rsidRDefault="00491D53" w:rsidP="00491D53">
      <w:pPr>
        <w:spacing w:after="0" w:line="240" w:lineRule="auto"/>
        <w:jc w:val="both"/>
        <w:rPr>
          <w:rFonts w:cs="Calibri"/>
        </w:rPr>
      </w:pPr>
      <w:r w:rsidRPr="00E74967">
        <w:rPr>
          <w:rFonts w:cs="Calibri"/>
        </w:rPr>
        <w:t xml:space="preserve">* Se </w:t>
      </w:r>
      <w:r w:rsidR="006E1E1B" w:rsidRPr="00E74967">
        <w:rPr>
          <w:rFonts w:cs="Calibri"/>
        </w:rPr>
        <w:t>anexará</w:t>
      </w:r>
      <w:r w:rsidRPr="00E74967">
        <w:rPr>
          <w:rFonts w:cs="Calibri"/>
        </w:rPr>
        <w:t xml:space="preserve">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4FEE18F" w:rsidR="00491D53" w:rsidRPr="00E74967" w:rsidRDefault="00E11700" w:rsidP="00491D53">
      <w:pPr>
        <w:spacing w:after="0" w:line="240" w:lineRule="auto"/>
        <w:jc w:val="both"/>
        <w:rPr>
          <w:rFonts w:cs="Calibri"/>
          <w:b/>
        </w:rPr>
      </w:pPr>
      <w:r>
        <w:rPr>
          <w:rFonts w:cs="Calibri"/>
          <w:b/>
        </w:rPr>
        <w:t>11</w:t>
      </w:r>
      <w:r w:rsidR="00491D53" w:rsidRPr="00E74967">
        <w:rPr>
          <w:rFonts w:cs="Calibri"/>
          <w:b/>
        </w:rPr>
        <w:t>.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5D40E48B" w:rsidR="00491D53" w:rsidRPr="00E74967" w:rsidRDefault="00E11700" w:rsidP="00491D53">
      <w:pPr>
        <w:spacing w:after="0" w:line="240" w:lineRule="auto"/>
        <w:jc w:val="both"/>
        <w:rPr>
          <w:rFonts w:cs="Calibri"/>
          <w:b/>
        </w:rPr>
      </w:pPr>
      <w:r>
        <w:rPr>
          <w:rFonts w:cs="Calibri"/>
          <w:b/>
        </w:rPr>
        <w:t>12</w:t>
      </w:r>
      <w:r w:rsidR="00491D53" w:rsidRPr="00E74967">
        <w:rPr>
          <w:rFonts w:cs="Calibri"/>
          <w:b/>
        </w:rPr>
        <w:t>.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45A99461"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w:t>
      </w:r>
      <w:r w:rsidR="006E1E1B">
        <w:rPr>
          <w:rFonts w:cs="Calibri"/>
          <w:i/>
        </w:rPr>
        <w:t>reflejar un</w:t>
      </w:r>
      <w:r>
        <w:rPr>
          <w:rFonts w:cs="Calibri"/>
          <w:i/>
        </w:rPr>
        <w:t xml:space="preserve">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20C7BC98" w:rsidR="00491D53" w:rsidRPr="00E74967" w:rsidRDefault="00E11700" w:rsidP="00491D53">
      <w:pPr>
        <w:spacing w:after="0" w:line="240" w:lineRule="auto"/>
        <w:jc w:val="both"/>
        <w:rPr>
          <w:rFonts w:cs="Calibri"/>
          <w:b/>
        </w:rPr>
      </w:pPr>
      <w:r>
        <w:rPr>
          <w:rFonts w:cs="Calibri"/>
          <w:b/>
        </w:rPr>
        <w:t>13</w:t>
      </w:r>
      <w:r w:rsidR="00491D53" w:rsidRPr="00E74967">
        <w:rPr>
          <w:rFonts w:cs="Calibri"/>
          <w:b/>
        </w:rPr>
        <w:t>.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E74967">
        <w:rPr>
          <w:rFonts w:cs="Calibri"/>
        </w:rPr>
        <w:lastRenderedPageBreak/>
        <w:t>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15EC84C9" w:rsidR="00491D53" w:rsidRPr="00E74967" w:rsidRDefault="00491D53" w:rsidP="00491D53">
      <w:pPr>
        <w:spacing w:after="0" w:line="240" w:lineRule="auto"/>
        <w:jc w:val="both"/>
        <w:rPr>
          <w:rFonts w:cs="Calibri"/>
          <w:b/>
        </w:rPr>
      </w:pPr>
      <w:r w:rsidRPr="00E74967">
        <w:rPr>
          <w:rFonts w:cs="Calibri"/>
          <w:b/>
        </w:rPr>
        <w:t>1</w:t>
      </w:r>
      <w:r w:rsidR="00E11700">
        <w:rPr>
          <w:rFonts w:cs="Calibri"/>
          <w:b/>
        </w:rPr>
        <w:t>4</w:t>
      </w:r>
      <w:r w:rsidRPr="00E74967">
        <w:rPr>
          <w:rFonts w:cs="Calibri"/>
          <w:b/>
        </w:rPr>
        <w:t>. Eventos Posteriores al Cierre:</w:t>
      </w:r>
    </w:p>
    <w:p w14:paraId="1CA5E1BB" w14:textId="77777777" w:rsidR="00491D53" w:rsidRPr="00E74967" w:rsidRDefault="00491D53" w:rsidP="00491D53">
      <w:pPr>
        <w:spacing w:after="0" w:line="240" w:lineRule="auto"/>
        <w:jc w:val="both"/>
        <w:rPr>
          <w:rFonts w:cs="Calibri"/>
        </w:rPr>
      </w:pPr>
    </w:p>
    <w:p w14:paraId="22D1816D" w14:textId="57BDBA4A" w:rsidR="00491D53" w:rsidRDefault="00491D53" w:rsidP="00491D53">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6E1E1B" w:rsidRPr="00E74967">
        <w:rPr>
          <w:rFonts w:cs="Calibri"/>
        </w:rPr>
        <w:t>afectan económicamente</w:t>
      </w:r>
      <w:r w:rsidRPr="00E74967">
        <w:rPr>
          <w:rFonts w:cs="Calibri"/>
        </w:rPr>
        <w:t xml:space="preserv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232E54E6" w:rsidR="00491D53" w:rsidRPr="00E74967" w:rsidRDefault="00491D53" w:rsidP="00491D53">
      <w:pPr>
        <w:spacing w:after="0" w:line="240" w:lineRule="auto"/>
        <w:jc w:val="both"/>
        <w:rPr>
          <w:rFonts w:cs="Calibri"/>
          <w:b/>
        </w:rPr>
      </w:pPr>
      <w:r w:rsidRPr="00E74967">
        <w:rPr>
          <w:rFonts w:cs="Calibri"/>
          <w:b/>
        </w:rPr>
        <w:t>1</w:t>
      </w:r>
      <w:r w:rsidR="00E11700">
        <w:rPr>
          <w:rFonts w:cs="Calibri"/>
          <w:b/>
        </w:rPr>
        <w:t>5</w:t>
      </w:r>
      <w:r w:rsidRPr="00E74967">
        <w:rPr>
          <w:rFonts w:cs="Calibri"/>
          <w:b/>
        </w:rPr>
        <w:t>.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24B74348" w:rsidR="00491D53" w:rsidRPr="00E74967" w:rsidRDefault="00491D53" w:rsidP="00491D53">
      <w:pPr>
        <w:spacing w:after="0" w:line="240" w:lineRule="auto"/>
        <w:jc w:val="both"/>
        <w:rPr>
          <w:rFonts w:cs="Calibri"/>
          <w:b/>
        </w:rPr>
      </w:pPr>
      <w:r w:rsidRPr="00E74967">
        <w:rPr>
          <w:rFonts w:cs="Calibri"/>
          <w:b/>
        </w:rPr>
        <w:t>1</w:t>
      </w:r>
      <w:r w:rsidR="00E11700">
        <w:rPr>
          <w:rFonts w:cs="Calibri"/>
          <w:b/>
        </w:rPr>
        <w:t>6</w:t>
      </w:r>
      <w:r w:rsidRPr="00E74967">
        <w:rPr>
          <w:rFonts w:cs="Calibri"/>
          <w:b/>
        </w:rPr>
        <w:t xml:space="preserve">.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EC3F2" w14:textId="77777777" w:rsidR="00034A22" w:rsidRDefault="00034A22" w:rsidP="00E00323">
      <w:pPr>
        <w:spacing w:after="0" w:line="240" w:lineRule="auto"/>
      </w:pPr>
      <w:r>
        <w:separator/>
      </w:r>
    </w:p>
  </w:endnote>
  <w:endnote w:type="continuationSeparator" w:id="0">
    <w:p w14:paraId="41832DD4" w14:textId="77777777" w:rsidR="00034A22" w:rsidRDefault="00034A2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4D0FE17" w:rsidR="0012405A" w:rsidRDefault="0012405A">
        <w:pPr>
          <w:pStyle w:val="Piedepgina"/>
          <w:jc w:val="right"/>
        </w:pPr>
        <w:r>
          <w:fldChar w:fldCharType="begin"/>
        </w:r>
        <w:r>
          <w:instrText>PAGE   \* MERGEFORMAT</w:instrText>
        </w:r>
        <w:r>
          <w:fldChar w:fldCharType="separate"/>
        </w:r>
        <w:r w:rsidR="00F873B1" w:rsidRPr="00F873B1">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A43A7" w14:textId="77777777" w:rsidR="00034A22" w:rsidRDefault="00034A22" w:rsidP="00E00323">
      <w:pPr>
        <w:spacing w:after="0" w:line="240" w:lineRule="auto"/>
      </w:pPr>
      <w:r>
        <w:separator/>
      </w:r>
    </w:p>
  </w:footnote>
  <w:footnote w:type="continuationSeparator" w:id="0">
    <w:p w14:paraId="64FA5A85" w14:textId="77777777" w:rsidR="00034A22" w:rsidRDefault="00034A2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736CBDFA"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w:t>
    </w:r>
    <w:r w:rsidR="006E1E1B">
      <w:t>20</w:t>
    </w:r>
  </w:p>
  <w:p w14:paraId="3F494872" w14:textId="77777777" w:rsidR="00475D56" w:rsidRDefault="00475D56" w:rsidP="00475D56">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4A22"/>
    <w:rsid w:val="00040D4F"/>
    <w:rsid w:val="00061F6B"/>
    <w:rsid w:val="00084EAE"/>
    <w:rsid w:val="00091CE6"/>
    <w:rsid w:val="000B7810"/>
    <w:rsid w:val="000C3365"/>
    <w:rsid w:val="000F161B"/>
    <w:rsid w:val="0012405A"/>
    <w:rsid w:val="00154BA3"/>
    <w:rsid w:val="001973A2"/>
    <w:rsid w:val="001C75F2"/>
    <w:rsid w:val="001D2063"/>
    <w:rsid w:val="001D43E9"/>
    <w:rsid w:val="0020707E"/>
    <w:rsid w:val="003453CA"/>
    <w:rsid w:val="00435A87"/>
    <w:rsid w:val="00475D56"/>
    <w:rsid w:val="00491D53"/>
    <w:rsid w:val="004A58C8"/>
    <w:rsid w:val="0054701E"/>
    <w:rsid w:val="00557D78"/>
    <w:rsid w:val="00564949"/>
    <w:rsid w:val="00594E18"/>
    <w:rsid w:val="005D3E43"/>
    <w:rsid w:val="005E231E"/>
    <w:rsid w:val="00657009"/>
    <w:rsid w:val="00681C79"/>
    <w:rsid w:val="006E1E1B"/>
    <w:rsid w:val="007610BC"/>
    <w:rsid w:val="00764727"/>
    <w:rsid w:val="007714AB"/>
    <w:rsid w:val="00780060"/>
    <w:rsid w:val="007D1E76"/>
    <w:rsid w:val="007D4484"/>
    <w:rsid w:val="007F3890"/>
    <w:rsid w:val="0086459F"/>
    <w:rsid w:val="008C3BB8"/>
    <w:rsid w:val="008E076C"/>
    <w:rsid w:val="0092765C"/>
    <w:rsid w:val="00992F2F"/>
    <w:rsid w:val="009D325B"/>
    <w:rsid w:val="00A4610E"/>
    <w:rsid w:val="00A730E0"/>
    <w:rsid w:val="00AA41E5"/>
    <w:rsid w:val="00AB722B"/>
    <w:rsid w:val="00AE1F6A"/>
    <w:rsid w:val="00B358F2"/>
    <w:rsid w:val="00BD661D"/>
    <w:rsid w:val="00BE62D0"/>
    <w:rsid w:val="00C37B64"/>
    <w:rsid w:val="00C93C54"/>
    <w:rsid w:val="00C97E1E"/>
    <w:rsid w:val="00CB41C4"/>
    <w:rsid w:val="00CF1316"/>
    <w:rsid w:val="00D13C44"/>
    <w:rsid w:val="00D973DA"/>
    <w:rsid w:val="00D975B1"/>
    <w:rsid w:val="00E00323"/>
    <w:rsid w:val="00E11700"/>
    <w:rsid w:val="00E55D53"/>
    <w:rsid w:val="00E74967"/>
    <w:rsid w:val="00E819F1"/>
    <w:rsid w:val="00EA37F5"/>
    <w:rsid w:val="00EA7915"/>
    <w:rsid w:val="00F46719"/>
    <w:rsid w:val="00F54F6F"/>
    <w:rsid w:val="00F873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D71C5487-A6EE-4FDD-AF6A-EC190134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2648</Words>
  <Characters>14566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17180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Contabilidad3</cp:lastModifiedBy>
  <cp:revision>19</cp:revision>
  <dcterms:created xsi:type="dcterms:W3CDTF">2018-04-26T04:55:00Z</dcterms:created>
  <dcterms:modified xsi:type="dcterms:W3CDTF">2020-10-23T19:04:00Z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